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45B6F">
        <w:rPr>
          <w:b/>
        </w:rPr>
        <w:t xml:space="preserve"> </w:t>
      </w:r>
      <w:r w:rsidR="00C45B6F">
        <w:t xml:space="preserve">LDR </w:t>
      </w:r>
      <w:proofErr w:type="gramStart"/>
      <w:r w:rsidR="00C45B6F">
        <w:t>400  -</w:t>
      </w:r>
      <w:proofErr w:type="gramEnd"/>
      <w:r w:rsidR="00C45B6F">
        <w:t xml:space="preserve"> Systems Thinking in Workplace Leadership</w:t>
      </w:r>
    </w:p>
    <w:p w:rsidR="00C45B6F" w:rsidRPr="00B41FCA" w:rsidRDefault="00C45B6F" w:rsidP="00C45B6F">
      <w:r w:rsidRPr="007A65D6">
        <w:rPr>
          <w:b/>
        </w:rPr>
        <w:t>Home Department:</w:t>
      </w:r>
      <w:r>
        <w:rPr>
          <w:b/>
        </w:rPr>
        <w:t xml:space="preserve">  </w:t>
      </w:r>
      <w:r>
        <w:t>School of Education, Leadership, and Public Service</w:t>
      </w:r>
    </w:p>
    <w:p w:rsidR="00C45B6F" w:rsidRDefault="00C45B6F" w:rsidP="00C45B6F">
      <w:r w:rsidRPr="007A65D6">
        <w:rPr>
          <w:b/>
        </w:rPr>
        <w:t>Department Chair Name and Contact Information</w:t>
      </w:r>
      <w:r>
        <w:t xml:space="preserve"> (phone, email):  Joe Lubig, 227-1880, </w:t>
      </w:r>
      <w:hyperlink r:id="rId7" w:history="1">
        <w:r w:rsidRPr="00223048">
          <w:rPr>
            <w:rStyle w:val="Hyperlink"/>
          </w:rPr>
          <w:t>jlubig@nmu.edu</w:t>
        </w:r>
      </w:hyperlink>
      <w:r>
        <w:t xml:space="preserve"> </w:t>
      </w:r>
    </w:p>
    <w:p w:rsidR="00C45B6F" w:rsidRDefault="00C45B6F" w:rsidP="00C45B6F">
      <w:r w:rsidRPr="007A65D6">
        <w:rPr>
          <w:b/>
        </w:rPr>
        <w:t>Expected frequency of Offering of the course</w:t>
      </w:r>
      <w:r>
        <w:t xml:space="preserve"> (e.g. every semester, every fall):</w:t>
      </w:r>
    </w:p>
    <w:p w:rsidR="00C45B6F" w:rsidRDefault="00C45B6F" w:rsidP="00C45B6F">
      <w:r w:rsidRPr="00DE239C">
        <w:rPr>
          <w:b/>
        </w:rPr>
        <w:t>Official Course Status</w:t>
      </w:r>
      <w:r>
        <w:t xml:space="preserve">: Has this course been approved by CUP and Senate?  </w:t>
      </w:r>
      <w:r>
        <w:tab/>
        <w:t>YES</w:t>
      </w:r>
      <w:r>
        <w:tab/>
      </w:r>
      <w:r>
        <w:tab/>
      </w:r>
      <w:r w:rsidRPr="003E7D7E">
        <w:rPr>
          <w:b/>
          <w:u w:val="single"/>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AA69FE" w:rsidRDefault="00AA69FE" w:rsidP="00AA69FE">
      <w:r w:rsidRPr="00A62D66">
        <w:t>Systems thinking is seeking to understand system behavior by examining the whole, rather than by analyzing the parts.  Systems’ thinking is a discipline of seeing the whole, recognizing patterns and interrelationships, and learning how to innovate more effective, efficient and creative system solutions.</w:t>
      </w:r>
      <w:r w:rsidRPr="00A62D66">
        <w:rPr>
          <w:bCs/>
          <w:lang w:val="en"/>
        </w:rPr>
        <w:t xml:space="preserve"> </w:t>
      </w:r>
      <w:r w:rsidRPr="004B1617">
        <w:rPr>
          <w:i/>
        </w:rPr>
        <w:t xml:space="preserve">LDR </w:t>
      </w:r>
      <w:proofErr w:type="gramStart"/>
      <w:r w:rsidRPr="004B1617">
        <w:rPr>
          <w:i/>
        </w:rPr>
        <w:t>400  -</w:t>
      </w:r>
      <w:proofErr w:type="gramEnd"/>
      <w:r w:rsidRPr="004B1617">
        <w:rPr>
          <w:i/>
        </w:rPr>
        <w:t xml:space="preserve"> Systems Thinking in Workplace Leadership</w:t>
      </w:r>
      <w:r w:rsidRPr="00A62D66">
        <w:t xml:space="preserve"> will acquaint students to basic concepts of systems thinking.  The primary emphasis will be the introduction of basic systems thinking fundamentals, i.e. defining a systems perspective about any situation or problem, solving problems with that perspective, describing and modeling a problem, and designing and improving upon system solutions.  </w:t>
      </w:r>
    </w:p>
    <w:p w:rsidR="00103B9B" w:rsidRDefault="00103B9B" w:rsidP="00103B9B">
      <w:r>
        <w:t xml:space="preserve">This is an introductory course in “systems thinking,” a leadership model that recognizes that people, structures, and processes interact within organizational systems to foster organizational health. </w:t>
      </w:r>
      <w:r w:rsidRPr="006716A6">
        <w:t xml:space="preserve">The purpose of this course is to introduce the </w:t>
      </w:r>
      <w:r>
        <w:t>students</w:t>
      </w:r>
      <w:r w:rsidRPr="006716A6">
        <w:t xml:space="preserve"> to a new way of thinking and its applications. Nowadays it is urgent to learn how to deal with diversity, instability, continuous change, and uncertainty. This course proposes a profound transformation in our traditional way of thinking.  This course aims at stimulating the integration of logical (Cartesian) thinking with systems thinking, which is a non-linear way of thinking. </w:t>
      </w:r>
      <w:r>
        <w:t>Complex thinking</w:t>
      </w:r>
      <w:r w:rsidRPr="006716A6">
        <w:t xml:space="preserve"> allows us to deal alternately with the parts and the whole, as part of an existing sustainable paradox.</w:t>
      </w:r>
      <w:r w:rsidRPr="00821410">
        <w:t xml:space="preserve"> </w:t>
      </w:r>
      <w:r>
        <w:t>This course is rooted in anti-oppressive understandings of the interconnections of systems and ethnicity, class, gender, age, and disability; and it will explore systems thinking in relation to social media and non-hierarchical organizational systems</w:t>
      </w:r>
    </w:p>
    <w:p w:rsidR="00AA69FE" w:rsidRDefault="00AA69FE" w:rsidP="00AA69FE"/>
    <w:p w:rsidR="00AA69FE" w:rsidRPr="00A62D66" w:rsidRDefault="00AA69FE" w:rsidP="00AA69FE"/>
    <w:p w:rsidR="00AA69FE" w:rsidRPr="005B2CA6" w:rsidRDefault="00AA69FE"/>
    <w:p w:rsidR="00147F10" w:rsidRDefault="00147F10">
      <w:r w:rsidRPr="005B2CA6">
        <w:lastRenderedPageBreak/>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43B15" w:rsidRDefault="00243B15"/>
    <w:p w:rsidR="00F81491" w:rsidRDefault="00F81491" w:rsidP="00F81491">
      <w:pPr>
        <w:pStyle w:val="ListParagraph"/>
        <w:numPr>
          <w:ilvl w:val="0"/>
          <w:numId w:val="1"/>
        </w:numPr>
      </w:pPr>
      <w:r w:rsidRPr="00437169">
        <w:rPr>
          <w:u w:val="single"/>
        </w:rPr>
        <w:t>Critical Thinking</w:t>
      </w:r>
      <w:r>
        <w:t xml:space="preserve">:  </w:t>
      </w:r>
    </w:p>
    <w:p w:rsidR="00F81491" w:rsidRPr="00437169" w:rsidRDefault="00F81491" w:rsidP="00F81491">
      <w:pPr>
        <w:ind w:left="360"/>
      </w:pPr>
      <w:r>
        <w:t xml:space="preserve">In order to satisfy the </w:t>
      </w:r>
      <w:r w:rsidRPr="00437169">
        <w:rPr>
          <w:i/>
        </w:rPr>
        <w:t>Evidence</w:t>
      </w:r>
      <w:r>
        <w:t xml:space="preserve"> learning outcome dimension, LDR </w:t>
      </w:r>
      <w:r w:rsidR="00322E3F">
        <w:t>400</w:t>
      </w:r>
      <w:r>
        <w:t xml:space="preserve"> requires students to use information gleaned from text readings, online content, discussion forums, and professional experience to d</w:t>
      </w:r>
      <w:r w:rsidRPr="00437169">
        <w:rPr>
          <w:rFonts w:cs="Arial"/>
        </w:rPr>
        <w:t xml:space="preserve">escribe and analyze </w:t>
      </w:r>
      <w:r w:rsidR="004B1617">
        <w:rPr>
          <w:rFonts w:cs="Arial"/>
        </w:rPr>
        <w:t>workplace</w:t>
      </w:r>
      <w:r w:rsidRPr="00437169">
        <w:rPr>
          <w:rFonts w:cs="Arial"/>
        </w:rPr>
        <w:t xml:space="preserve"> issues and dilemmas</w:t>
      </w:r>
      <w:r>
        <w:rPr>
          <w:rFonts w:cs="Arial"/>
        </w:rPr>
        <w:t xml:space="preserve"> and to </w:t>
      </w:r>
      <w:r>
        <w:t>a</w:t>
      </w:r>
      <w:r w:rsidRPr="00437169">
        <w:rPr>
          <w:rFonts w:cs="Arial"/>
        </w:rPr>
        <w:t xml:space="preserve">pply </w:t>
      </w:r>
      <w:r w:rsidR="004B1617">
        <w:rPr>
          <w:rFonts w:cs="Arial"/>
        </w:rPr>
        <w:t xml:space="preserve">system </w:t>
      </w:r>
      <w:r w:rsidRPr="00437169">
        <w:rPr>
          <w:rFonts w:cs="Arial"/>
        </w:rPr>
        <w:t xml:space="preserve">thinking skills in resolving </w:t>
      </w:r>
      <w:r w:rsidR="00603CD4">
        <w:rPr>
          <w:rFonts w:cs="Arial"/>
        </w:rPr>
        <w:t xml:space="preserve">those </w:t>
      </w:r>
      <w:r w:rsidRPr="00437169">
        <w:rPr>
          <w:rFonts w:cs="Arial"/>
        </w:rPr>
        <w:t>issues</w:t>
      </w:r>
      <w:r>
        <w:rPr>
          <w:rFonts w:cs="Arial"/>
        </w:rPr>
        <w:t>.</w:t>
      </w:r>
    </w:p>
    <w:p w:rsidR="00603CD4" w:rsidRDefault="00F81491" w:rsidP="00F81491">
      <w:pPr>
        <w:ind w:left="360"/>
        <w:rPr>
          <w:rFonts w:cs="Arial"/>
        </w:rPr>
      </w:pPr>
      <w:r>
        <w:t xml:space="preserve">In order to satisfy the </w:t>
      </w:r>
      <w:r w:rsidRPr="00437169">
        <w:rPr>
          <w:i/>
        </w:rPr>
        <w:t xml:space="preserve">Integration </w:t>
      </w:r>
      <w:r>
        <w:t xml:space="preserve">learning outcome dimension, LDR </w:t>
      </w:r>
      <w:r w:rsidR="00322E3F">
        <w:t>400</w:t>
      </w:r>
      <w:r>
        <w:t xml:space="preserve"> requires students to cumulatively combine theories and concepts from text readings, online content, discussion forums, and professional experience to d</w:t>
      </w:r>
      <w:r w:rsidRPr="00437169">
        <w:rPr>
          <w:rFonts w:cs="Arial"/>
        </w:rPr>
        <w:t xml:space="preserve">emonstrate awareness of one’s own values and investigate </w:t>
      </w:r>
      <w:r w:rsidR="00603CD4" w:rsidRPr="00AA6EE7">
        <w:t>how individuals, and small or large groups i</w:t>
      </w:r>
      <w:r w:rsidR="00603CD4">
        <w:t xml:space="preserve">nteract within organizations, as well as the </w:t>
      </w:r>
      <w:r w:rsidR="00603CD4" w:rsidRPr="006716A6">
        <w:t>nature of complex systems (which include human beings and their organ</w:t>
      </w:r>
      <w:r w:rsidR="00603CD4">
        <w:t>izations) and how they function in concert.</w:t>
      </w:r>
    </w:p>
    <w:p w:rsidR="00F81491" w:rsidRPr="00D72C6D" w:rsidRDefault="00F81491" w:rsidP="00F81491">
      <w:pPr>
        <w:ind w:left="360"/>
      </w:pPr>
      <w:r>
        <w:t xml:space="preserve">In order to satisfy the </w:t>
      </w:r>
      <w:r w:rsidRPr="00437169">
        <w:rPr>
          <w:i/>
        </w:rPr>
        <w:t>Evaluation</w:t>
      </w:r>
      <w:r>
        <w:t xml:space="preserve"> learning outcome dimension, LDR </w:t>
      </w:r>
      <w:r w:rsidR="00322E3F">
        <w:t>400</w:t>
      </w:r>
      <w:r>
        <w:t xml:space="preserve"> requires students to critically assess the relative value of related course ideas and </w:t>
      </w:r>
      <w:r w:rsidR="00603CD4">
        <w:t>system thinking</w:t>
      </w:r>
      <w:r>
        <w:t xml:space="preserve"> frameworks to identify</w:t>
      </w:r>
      <w:r w:rsidRPr="009737FB">
        <w:t xml:space="preserve"> </w:t>
      </w:r>
      <w:r>
        <w:t>and support pragmatic approaches to managing interpersonal opportunities and challenges in the workplace. Students will e</w:t>
      </w:r>
      <w:r w:rsidRPr="00A77D17">
        <w:rPr>
          <w:rFonts w:cs="TimesNewRomanPSMT"/>
        </w:rPr>
        <w:t xml:space="preserve">nhance </w:t>
      </w:r>
      <w:r>
        <w:rPr>
          <w:rFonts w:cs="TimesNewRomanPSMT"/>
        </w:rPr>
        <w:t>their</w:t>
      </w:r>
      <w:r w:rsidRPr="00A77D17">
        <w:rPr>
          <w:rFonts w:cs="TimesNewRomanPSMT"/>
        </w:rPr>
        <w:t xml:space="preserve"> ability to think critically, to analyze complex and diverse concepts, and to use </w:t>
      </w:r>
      <w:r>
        <w:rPr>
          <w:rFonts w:cs="TimesNewRomanPSMT"/>
        </w:rPr>
        <w:t>their</w:t>
      </w:r>
      <w:r w:rsidRPr="00A77D17">
        <w:rPr>
          <w:rFonts w:cs="TimesNewRomanPSMT"/>
        </w:rPr>
        <w:t xml:space="preserve"> reasoning, judgment and imagination to create new possibilities in leadership situations.</w:t>
      </w:r>
    </w:p>
    <w:p w:rsidR="00F81491" w:rsidRDefault="00F81491" w:rsidP="00F81491">
      <w:pPr>
        <w:pStyle w:val="ListParagraph"/>
        <w:numPr>
          <w:ilvl w:val="0"/>
          <w:numId w:val="1"/>
        </w:numPr>
      </w:pPr>
      <w:r w:rsidRPr="00D72C6D">
        <w:rPr>
          <w:u w:val="single"/>
        </w:rPr>
        <w:t>Integrative Thinking</w:t>
      </w:r>
      <w:r>
        <w:t xml:space="preserve">:  </w:t>
      </w:r>
    </w:p>
    <w:p w:rsidR="00603CD4" w:rsidRPr="00437169" w:rsidRDefault="00F81491" w:rsidP="00F81491">
      <w:pPr>
        <w:ind w:left="360"/>
      </w:pPr>
      <w:r>
        <w:t xml:space="preserve">In order to satisfy the </w:t>
      </w:r>
      <w:r w:rsidRPr="00D72C6D">
        <w:rPr>
          <w:i/>
        </w:rPr>
        <w:t>Connections</w:t>
      </w:r>
      <w:r>
        <w:rPr>
          <w:i/>
        </w:rPr>
        <w:t xml:space="preserve"> to Experience</w:t>
      </w:r>
      <w:r>
        <w:t xml:space="preserve"> learning outcome dimension, LDR </w:t>
      </w:r>
      <w:r w:rsidR="00322E3F">
        <w:t>400</w:t>
      </w:r>
      <w:r>
        <w:t xml:space="preserve"> requires students to draw from and synthesize theories and concepts introduced from a range of academic vantages so as to formulate optimal solutions to </w:t>
      </w:r>
      <w:r w:rsidR="00603CD4">
        <w:t xml:space="preserve">workplace </w:t>
      </w:r>
      <w:r>
        <w:t>problems. Students will d</w:t>
      </w:r>
      <w:r w:rsidRPr="00437169">
        <w:rPr>
          <w:rFonts w:cs="Arial"/>
        </w:rPr>
        <w:t>emonstrate awareness of one’s own values and investigate the interrelationships and tensions that occur between personal, professional, and societal values.</w:t>
      </w:r>
      <w:r w:rsidR="00603CD4">
        <w:rPr>
          <w:rFonts w:cs="Arial"/>
        </w:rPr>
        <w:t xml:space="preserve"> They will us</w:t>
      </w:r>
      <w:r w:rsidR="00603CD4">
        <w:t>e systems thinking to enhance team development and performance.</w:t>
      </w:r>
    </w:p>
    <w:p w:rsidR="00603CD4" w:rsidRDefault="00F81491" w:rsidP="00F81491">
      <w:pPr>
        <w:ind w:left="360"/>
      </w:pPr>
      <w:r>
        <w:t xml:space="preserve">In order to satisfy the </w:t>
      </w:r>
      <w:r w:rsidR="00D85DFF">
        <w:rPr>
          <w:i/>
        </w:rPr>
        <w:t>Transfer</w:t>
      </w:r>
      <w:r>
        <w:t xml:space="preserve"> learning outcome dimension, LDR </w:t>
      </w:r>
      <w:r w:rsidR="00322E3F">
        <w:t>400</w:t>
      </w:r>
      <w:r>
        <w:t xml:space="preserve"> </w:t>
      </w:r>
      <w:r w:rsidR="00603CD4">
        <w:t>requires students to apply systems thinking skills and methodologies to workplace situations in order to create long-term solu</w:t>
      </w:r>
      <w:r w:rsidR="00DB1F0F">
        <w:t>tions to recurring problems. Using</w:t>
      </w:r>
      <w:bookmarkStart w:id="0" w:name="_GoBack"/>
      <w:bookmarkEnd w:id="0"/>
      <w:r w:rsidR="00603CD4">
        <w:t xml:space="preserve"> scenario planning, students will conceptualize future possibilities and actions from multiple perspectives.</w:t>
      </w:r>
    </w:p>
    <w:p w:rsidR="00BC07C1" w:rsidRDefault="00F81491" w:rsidP="00BC07C1">
      <w:pPr>
        <w:ind w:left="360"/>
      </w:pPr>
      <w:r w:rsidRPr="00171EFE">
        <w:t xml:space="preserve">In order to satisfy the </w:t>
      </w:r>
      <w:r w:rsidR="00D85DFF">
        <w:rPr>
          <w:i/>
        </w:rPr>
        <w:t>Integrated Communication</w:t>
      </w:r>
      <w:r w:rsidRPr="00171EFE">
        <w:t xml:space="preserve"> learning outcome dimension, </w:t>
      </w:r>
      <w:r>
        <w:t xml:space="preserve">LDR </w:t>
      </w:r>
      <w:r w:rsidR="00322E3F">
        <w:t>400</w:t>
      </w:r>
      <w:r w:rsidRPr="00171EFE">
        <w:t xml:space="preserve"> </w:t>
      </w:r>
      <w:r w:rsidR="00BC07C1" w:rsidRPr="00171EFE">
        <w:t xml:space="preserve">requires students to focus on both the form and content employed when completing course assignments. The content of their work must demonstrate the use of perspective-taking skills and person-centered message design logics in examining both process </w:t>
      </w:r>
      <w:r w:rsidR="00BC07C1">
        <w:t xml:space="preserve">and performance </w:t>
      </w:r>
      <w:r w:rsidR="00BC07C1" w:rsidRPr="00171EFE">
        <w:t xml:space="preserve">elements of communication competence. </w:t>
      </w:r>
      <w:r w:rsidR="00BC07C1">
        <w:t xml:space="preserve"> Students are required to </w:t>
      </w:r>
      <w:r w:rsidR="000A0820">
        <w:t xml:space="preserve">make and defend their choices for conveying content to their classmates and workplace audiences. </w:t>
      </w:r>
    </w:p>
    <w:p w:rsidR="00F81491" w:rsidRPr="005B2CA6" w:rsidRDefault="00F81491"/>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103B9B" w:rsidRDefault="00103B9B">
      <w:r>
        <w:t xml:space="preserve">LDR 400 is required for Leadership majors and minors; however, the course should be attractive to other majors, as systems thinking is certainly relevant to </w:t>
      </w:r>
      <w:r w:rsidR="004B1617">
        <w:t>other fields.</w:t>
      </w:r>
    </w:p>
    <w:p w:rsidR="004B1617" w:rsidRPr="005B2CA6" w:rsidRDefault="004B1617"/>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B1617" w:rsidRDefault="004B1617" w:rsidP="004B1617">
      <w:r>
        <w:lastRenderedPageBreak/>
        <w:t xml:space="preserve">LDR 400 is required for Leadership majors and minors. </w:t>
      </w:r>
    </w:p>
    <w:p w:rsidR="00103B9B" w:rsidRPr="005B2CA6" w:rsidRDefault="00103B9B"/>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C85E4E" w:rsidTr="00997CF2">
        <w:tc>
          <w:tcPr>
            <w:tcW w:w="1345" w:type="dxa"/>
          </w:tcPr>
          <w:p w:rsidR="00C85E4E" w:rsidRPr="00AE7775" w:rsidRDefault="00C85E4E" w:rsidP="00C85E4E">
            <w:pPr>
              <w:rPr>
                <w:b/>
              </w:rPr>
            </w:pPr>
            <w:r w:rsidRPr="00AE7775">
              <w:rPr>
                <w:b/>
              </w:rPr>
              <w:t>Evidence</w:t>
            </w:r>
          </w:p>
        </w:tc>
        <w:tc>
          <w:tcPr>
            <w:tcW w:w="2340" w:type="dxa"/>
          </w:tcPr>
          <w:p w:rsidR="00C85E4E" w:rsidRDefault="00C85E4E" w:rsidP="00C85E4E">
            <w:r w:rsidRPr="007A65D6">
              <w:t>Assesses quality of information that may be integrated into an argument</w:t>
            </w:r>
          </w:p>
        </w:tc>
        <w:tc>
          <w:tcPr>
            <w:tcW w:w="6750" w:type="dxa"/>
          </w:tcPr>
          <w:p w:rsidR="00C85E4E" w:rsidRPr="00F53497" w:rsidRDefault="00C85E4E" w:rsidP="00C85E4E">
            <w:pPr>
              <w:spacing w:after="240"/>
              <w:rPr>
                <w:sz w:val="20"/>
                <w:szCs w:val="20"/>
              </w:rPr>
            </w:pPr>
            <w:r w:rsidRPr="00F53497">
              <w:rPr>
                <w:i/>
                <w:sz w:val="20"/>
                <w:szCs w:val="20"/>
              </w:rPr>
              <w:t xml:space="preserve">Task type:  </w:t>
            </w:r>
            <w:r w:rsidRPr="00F53497">
              <w:rPr>
                <w:sz w:val="20"/>
                <w:szCs w:val="20"/>
              </w:rPr>
              <w:t>Weekly</w:t>
            </w:r>
            <w:r w:rsidRPr="00F53497">
              <w:rPr>
                <w:i/>
                <w:sz w:val="20"/>
                <w:szCs w:val="20"/>
              </w:rPr>
              <w:t xml:space="preserve"> </w:t>
            </w:r>
            <w:r w:rsidRPr="00F53497">
              <w:rPr>
                <w:sz w:val="20"/>
                <w:szCs w:val="20"/>
              </w:rPr>
              <w:t>responses to questions/prompts based on text readings, online articles and videos, as well classmates’ comments discussion forums.</w:t>
            </w:r>
          </w:p>
          <w:p w:rsidR="00C85E4E" w:rsidRPr="00F53497" w:rsidRDefault="00C85E4E" w:rsidP="00C85E4E">
            <w:pPr>
              <w:rPr>
                <w:sz w:val="20"/>
                <w:szCs w:val="20"/>
              </w:rPr>
            </w:pPr>
            <w:r w:rsidRPr="00F53497">
              <w:rPr>
                <w:i/>
                <w:sz w:val="20"/>
                <w:szCs w:val="20"/>
              </w:rPr>
              <w:t>Frequency:</w:t>
            </w:r>
            <w:r w:rsidRPr="00F53497">
              <w:rPr>
                <w:sz w:val="20"/>
                <w:szCs w:val="20"/>
              </w:rPr>
              <w:t xml:space="preserve">  Weekly</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Overall grading weight: </w:t>
            </w:r>
            <w:r w:rsidRPr="00F53497">
              <w:rPr>
                <w:sz w:val="20"/>
                <w:szCs w:val="20"/>
              </w:rPr>
              <w:t>30%</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Expected proficiency rate:  </w:t>
            </w:r>
            <w:r w:rsidR="003D4478">
              <w:rPr>
                <w:sz w:val="20"/>
                <w:szCs w:val="20"/>
              </w:rPr>
              <w:t>The SELPS</w:t>
            </w:r>
            <w:r w:rsidRPr="00F53497">
              <w:rPr>
                <w:sz w:val="20"/>
                <w:szCs w:val="20"/>
              </w:rPr>
              <w:t xml:space="preserve"> expects that </w:t>
            </w:r>
            <w:r w:rsidR="005C7028">
              <w:rPr>
                <w:sz w:val="20"/>
                <w:szCs w:val="20"/>
              </w:rPr>
              <w:t xml:space="preserve">15% of students will not be able to </w:t>
            </w:r>
            <w:r w:rsidRPr="00F53497">
              <w:rPr>
                <w:sz w:val="20"/>
                <w:szCs w:val="20"/>
              </w:rPr>
              <w:t>assess the quality of information integrated into an ethical argument</w:t>
            </w:r>
            <w:r w:rsidR="003D4478">
              <w:rPr>
                <w:sz w:val="20"/>
                <w:szCs w:val="20"/>
              </w:rPr>
              <w:t xml:space="preserve"> proficiently</w:t>
            </w:r>
            <w:r w:rsidR="005C7028">
              <w:rPr>
                <w:sz w:val="20"/>
                <w:szCs w:val="20"/>
              </w:rPr>
              <w:t xml:space="preserve">, 70% of students will be able to do so proficiently, and 15% of students will exceed the proficiency expectations. </w:t>
            </w:r>
          </w:p>
          <w:p w:rsidR="00C85E4E" w:rsidRPr="00F53497" w:rsidRDefault="00C85E4E" w:rsidP="00C85E4E">
            <w:pPr>
              <w:rPr>
                <w:sz w:val="20"/>
                <w:szCs w:val="20"/>
              </w:rPr>
            </w:pPr>
          </w:p>
          <w:p w:rsidR="00C85E4E" w:rsidRPr="00F53497" w:rsidRDefault="00C85E4E" w:rsidP="00C85E4E">
            <w:pPr>
              <w:pStyle w:val="PlainText"/>
              <w:ind w:left="-18" w:firstLine="18"/>
              <w:rPr>
                <w:rFonts w:asciiTheme="minorHAnsi" w:hAnsiTheme="minorHAnsi"/>
                <w:sz w:val="20"/>
                <w:szCs w:val="20"/>
              </w:rPr>
            </w:pPr>
            <w:r w:rsidRPr="00F53497">
              <w:rPr>
                <w:rFonts w:asciiTheme="minorHAnsi" w:hAnsiTheme="minorHAnsi"/>
                <w:i/>
                <w:sz w:val="20"/>
                <w:szCs w:val="20"/>
              </w:rPr>
              <w:t>Link Between Assessment Dimension &amp; Assessment Plan</w:t>
            </w:r>
            <w:r w:rsidRPr="00F53497">
              <w:rPr>
                <w:rFonts w:asciiTheme="minorHAnsi" w:hAnsiTheme="minorHAnsi"/>
                <w:sz w:val="20"/>
                <w:szCs w:val="20"/>
              </w:rPr>
              <w:t xml:space="preserve">:  Instructors will consider the extent to which students rely upon high quality support (i.e., source citations, quoted material, facts or figures, representative examples) for statements and arguments made in response to questions/prompts. </w:t>
            </w:r>
            <w:r w:rsidRPr="00F53497">
              <w:rPr>
                <w:rFonts w:asciiTheme="minorHAnsi" w:hAnsiTheme="minorHAnsi"/>
                <w:i/>
                <w:color w:val="FF0000"/>
                <w:sz w:val="20"/>
                <w:szCs w:val="20"/>
              </w:rPr>
              <w:t xml:space="preserve"> </w:t>
            </w:r>
            <w:r w:rsidRPr="00F53497">
              <w:rPr>
                <w:rFonts w:asciiTheme="minorHAnsi" w:hAnsiTheme="minorHAnsi"/>
                <w:sz w:val="20"/>
                <w:szCs w:val="20"/>
              </w:rPr>
              <w:t>The evidence presented in the student’s written work will be evaluated based on relevance to the topic, accuracy and logical consistency. Ultimately, good “evidence” should clearly support the inferences and conclusions made by the writer.</w:t>
            </w: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spacing w:after="240"/>
              <w:rPr>
                <w:sz w:val="20"/>
                <w:szCs w:val="20"/>
              </w:rPr>
            </w:pPr>
            <w:r w:rsidRPr="00F53497">
              <w:rPr>
                <w:i/>
                <w:sz w:val="20"/>
                <w:szCs w:val="20"/>
              </w:rPr>
              <w:t xml:space="preserve">Task type:  </w:t>
            </w:r>
            <w:r w:rsidRPr="00F53497">
              <w:rPr>
                <w:sz w:val="20"/>
                <w:szCs w:val="20"/>
              </w:rPr>
              <w:t xml:space="preserve">Applying Outcomes Thinking analysis paper and Systems Thinking barriers analysis paper </w:t>
            </w:r>
          </w:p>
          <w:p w:rsidR="00C85E4E" w:rsidRPr="00F53497" w:rsidRDefault="00C85E4E" w:rsidP="00C85E4E">
            <w:pPr>
              <w:rPr>
                <w:sz w:val="20"/>
                <w:szCs w:val="20"/>
              </w:rPr>
            </w:pPr>
            <w:r w:rsidRPr="00F53497">
              <w:rPr>
                <w:i/>
                <w:sz w:val="20"/>
                <w:szCs w:val="20"/>
              </w:rPr>
              <w:t>Frequency:</w:t>
            </w:r>
            <w:r w:rsidRPr="00F53497">
              <w:rPr>
                <w:sz w:val="20"/>
                <w:szCs w:val="20"/>
              </w:rPr>
              <w:t xml:space="preserve">  Once each per semester. </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Overall grading weight: </w:t>
            </w:r>
            <w:r w:rsidRPr="00F53497">
              <w:rPr>
                <w:sz w:val="20"/>
                <w:szCs w:val="20"/>
              </w:rPr>
              <w:t>10%</w:t>
            </w:r>
          </w:p>
          <w:p w:rsidR="00C85E4E" w:rsidRPr="00F53497" w:rsidRDefault="00C85E4E" w:rsidP="00C85E4E">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w:t>
            </w:r>
            <w:r w:rsidRPr="00F53497">
              <w:rPr>
                <w:sz w:val="20"/>
                <w:szCs w:val="20"/>
              </w:rPr>
              <w:t>assess the quality of information integrated into an ethical argument</w:t>
            </w:r>
            <w:r>
              <w:rPr>
                <w:sz w:val="20"/>
                <w:szCs w:val="20"/>
              </w:rPr>
              <w:t xml:space="preserve"> </w:t>
            </w:r>
            <w:r>
              <w:rPr>
                <w:sz w:val="20"/>
                <w:szCs w:val="20"/>
              </w:rPr>
              <w:lastRenderedPageBreak/>
              <w:t xml:space="preserve">proficiently, 70% of students will be able to do so proficiently, and 15% of students will exceed the proficiency expectations. </w:t>
            </w:r>
          </w:p>
          <w:p w:rsidR="003D4478" w:rsidRDefault="003D4478" w:rsidP="00C85E4E">
            <w:pPr>
              <w:rPr>
                <w:i/>
                <w:sz w:val="20"/>
                <w:szCs w:val="20"/>
              </w:rPr>
            </w:pPr>
          </w:p>
          <w:p w:rsidR="00C85E4E" w:rsidRPr="00F53497" w:rsidRDefault="00C85E4E" w:rsidP="003D4478">
            <w:pPr>
              <w:pStyle w:val="PlainText"/>
              <w:rPr>
                <w:rFonts w:asciiTheme="minorHAnsi" w:hAnsiTheme="minorHAnsi"/>
                <w:sz w:val="20"/>
                <w:szCs w:val="20"/>
              </w:rPr>
            </w:pPr>
            <w:r w:rsidRPr="00F53497">
              <w:rPr>
                <w:rFonts w:asciiTheme="minorHAnsi" w:hAnsiTheme="minorHAnsi"/>
                <w:i/>
                <w:sz w:val="20"/>
                <w:szCs w:val="20"/>
              </w:rPr>
              <w:t>Link Between Assessment Dimension &amp; Assessment Plan</w:t>
            </w:r>
            <w:r w:rsidRPr="00F53497">
              <w:rPr>
                <w:rFonts w:asciiTheme="minorHAnsi" w:hAnsiTheme="minorHAnsi"/>
                <w:sz w:val="20"/>
                <w:szCs w:val="20"/>
              </w:rPr>
              <w:t xml:space="preserve">:  Instructors will consider the extent to which students rely upon high quality support (i.e., source citations, quoted material, facts or figures, representative examples) for statements and arguments made in response to questions/prompts. </w:t>
            </w:r>
            <w:r w:rsidRPr="00F53497">
              <w:rPr>
                <w:rFonts w:asciiTheme="minorHAnsi" w:hAnsiTheme="minorHAnsi"/>
                <w:i/>
                <w:color w:val="FF0000"/>
                <w:sz w:val="20"/>
                <w:szCs w:val="20"/>
              </w:rPr>
              <w:t xml:space="preserve"> </w:t>
            </w:r>
            <w:r w:rsidRPr="00F53497">
              <w:rPr>
                <w:rFonts w:asciiTheme="minorHAnsi" w:hAnsiTheme="minorHAnsi"/>
                <w:sz w:val="20"/>
                <w:szCs w:val="20"/>
              </w:rPr>
              <w:t>The evidence presented in the student’s written work will be evaluated based on relevance to the topic, accuracy and logical consistency. Ultimately, good “evidence” should clearly support the inferences and conclusions made by the writer.</w:t>
            </w:r>
          </w:p>
          <w:p w:rsidR="00C85E4E" w:rsidRPr="00F53497" w:rsidRDefault="00C85E4E" w:rsidP="00C85E4E">
            <w:pPr>
              <w:rPr>
                <w:sz w:val="20"/>
                <w:szCs w:val="20"/>
              </w:rPr>
            </w:pPr>
          </w:p>
        </w:tc>
      </w:tr>
      <w:tr w:rsidR="00C85E4E" w:rsidTr="00997CF2">
        <w:tc>
          <w:tcPr>
            <w:tcW w:w="1345" w:type="dxa"/>
          </w:tcPr>
          <w:p w:rsidR="00C85E4E" w:rsidRPr="00AE7775" w:rsidRDefault="00C85E4E" w:rsidP="00C85E4E">
            <w:pPr>
              <w:rPr>
                <w:b/>
              </w:rPr>
            </w:pPr>
            <w:r w:rsidRPr="00AE7775">
              <w:rPr>
                <w:b/>
              </w:rPr>
              <w:lastRenderedPageBreak/>
              <w:t>Integrate</w:t>
            </w:r>
          </w:p>
        </w:tc>
        <w:tc>
          <w:tcPr>
            <w:tcW w:w="2340" w:type="dxa"/>
          </w:tcPr>
          <w:p w:rsidR="00C85E4E" w:rsidRDefault="00C85E4E" w:rsidP="00C85E4E">
            <w:r w:rsidRPr="007A65D6">
              <w:t xml:space="preserve">Integrates insight and or reasoning with </w:t>
            </w:r>
            <w:r>
              <w:t>existing</w:t>
            </w:r>
            <w:r w:rsidRPr="007A65D6">
              <w:t xml:space="preserve"> understanding to reach informed conclusions and/or understanding</w:t>
            </w:r>
          </w:p>
        </w:tc>
        <w:tc>
          <w:tcPr>
            <w:tcW w:w="6750" w:type="dxa"/>
          </w:tcPr>
          <w:p w:rsidR="00C85E4E" w:rsidRPr="00F53497" w:rsidRDefault="00C85E4E" w:rsidP="00C85E4E">
            <w:pPr>
              <w:spacing w:after="240"/>
              <w:rPr>
                <w:sz w:val="20"/>
                <w:szCs w:val="20"/>
              </w:rPr>
            </w:pPr>
            <w:r w:rsidRPr="00F53497">
              <w:rPr>
                <w:i/>
                <w:sz w:val="20"/>
                <w:szCs w:val="20"/>
              </w:rPr>
              <w:t xml:space="preserve">Task type:  </w:t>
            </w:r>
            <w:r w:rsidRPr="00F53497">
              <w:rPr>
                <w:sz w:val="20"/>
                <w:szCs w:val="20"/>
              </w:rPr>
              <w:t>Weekly</w:t>
            </w:r>
            <w:r w:rsidRPr="00F53497">
              <w:rPr>
                <w:i/>
                <w:sz w:val="20"/>
                <w:szCs w:val="20"/>
              </w:rPr>
              <w:t xml:space="preserve"> </w:t>
            </w:r>
            <w:r w:rsidRPr="00F53497">
              <w:rPr>
                <w:sz w:val="20"/>
                <w:szCs w:val="20"/>
              </w:rPr>
              <w:t>responses to questions/prompts based on text readings, online articles and videos, as well classmates’ comments discussion forums.</w:t>
            </w:r>
          </w:p>
          <w:p w:rsidR="00C85E4E" w:rsidRPr="00F53497" w:rsidRDefault="00C85E4E" w:rsidP="00C85E4E">
            <w:pPr>
              <w:rPr>
                <w:sz w:val="20"/>
                <w:szCs w:val="20"/>
              </w:rPr>
            </w:pPr>
            <w:r w:rsidRPr="00F53497">
              <w:rPr>
                <w:i/>
                <w:sz w:val="20"/>
                <w:szCs w:val="20"/>
              </w:rPr>
              <w:t>Frequency:</w:t>
            </w:r>
            <w:r w:rsidRPr="00F53497">
              <w:rPr>
                <w:sz w:val="20"/>
                <w:szCs w:val="20"/>
              </w:rPr>
              <w:t xml:space="preserve">  Weekly</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Overall grading weight: </w:t>
            </w:r>
            <w:r w:rsidRPr="00F53497">
              <w:rPr>
                <w:sz w:val="20"/>
                <w:szCs w:val="20"/>
              </w:rPr>
              <w:t>30%</w:t>
            </w:r>
          </w:p>
          <w:p w:rsidR="00C85E4E" w:rsidRPr="00F53497" w:rsidRDefault="00C85E4E" w:rsidP="00C85E4E">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integrate insight and reasoning with existing understanding to reach informed conclusion proficiently, 70% of students will be able to do so proficiently, and 15% of students will exceed the proficiency expectations. </w:t>
            </w:r>
          </w:p>
          <w:p w:rsidR="003D4478" w:rsidRPr="00F53497" w:rsidRDefault="003D4478" w:rsidP="00C85E4E">
            <w:pPr>
              <w:rPr>
                <w:sz w:val="20"/>
                <w:szCs w:val="20"/>
              </w:rPr>
            </w:pPr>
          </w:p>
          <w:p w:rsidR="00C85E4E" w:rsidRPr="00F53497" w:rsidRDefault="00C85E4E" w:rsidP="00C85E4E">
            <w:pPr>
              <w:rPr>
                <w:sz w:val="20"/>
                <w:szCs w:val="20"/>
              </w:rPr>
            </w:pPr>
          </w:p>
          <w:p w:rsidR="00C85E4E" w:rsidRPr="00F53497" w:rsidRDefault="00C85E4E" w:rsidP="00C85E4E">
            <w:pPr>
              <w:pStyle w:val="PlainText"/>
              <w:ind w:left="-18" w:firstLine="18"/>
              <w:rPr>
                <w:rFonts w:asciiTheme="minorHAnsi" w:hAnsiTheme="minorHAnsi"/>
                <w:sz w:val="20"/>
                <w:szCs w:val="20"/>
              </w:rPr>
            </w:pPr>
            <w:r w:rsidRPr="00F53497">
              <w:rPr>
                <w:rFonts w:asciiTheme="minorHAnsi" w:hAnsiTheme="minorHAnsi"/>
                <w:i/>
                <w:sz w:val="20"/>
                <w:szCs w:val="20"/>
              </w:rPr>
              <w:t>Link Between Assessment Dimension &amp; Assessment Plan</w:t>
            </w:r>
            <w:r w:rsidRPr="00F53497">
              <w:rPr>
                <w:rFonts w:asciiTheme="minorHAnsi" w:hAnsiTheme="minorHAnsi"/>
                <w:sz w:val="20"/>
                <w:szCs w:val="20"/>
              </w:rPr>
              <w:t xml:space="preserve">:  Instructors will consider the extent to which students rely upon high quality support (i.e., source citations, quoted material, facts or figures, representative examples) for statements and arguments made in response to questions/prompts. </w:t>
            </w:r>
            <w:r w:rsidRPr="00F53497">
              <w:rPr>
                <w:rFonts w:asciiTheme="minorHAnsi" w:hAnsiTheme="minorHAnsi"/>
                <w:i/>
                <w:color w:val="FF0000"/>
                <w:sz w:val="20"/>
                <w:szCs w:val="20"/>
              </w:rPr>
              <w:t xml:space="preserve"> </w:t>
            </w:r>
            <w:r w:rsidRPr="00F53497">
              <w:rPr>
                <w:rFonts w:asciiTheme="minorHAnsi" w:hAnsiTheme="minorHAnsi"/>
                <w:sz w:val="20"/>
                <w:szCs w:val="20"/>
              </w:rPr>
              <w:t>The evidence presented in the student’s written work will be evaluated based on relevance to the topic, accuracy and logical consistency. Ultimately, good “evidence” should clearly support the inferences and conclusions made by the writer.</w:t>
            </w: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spacing w:after="240"/>
              <w:rPr>
                <w:sz w:val="20"/>
                <w:szCs w:val="20"/>
              </w:rPr>
            </w:pPr>
            <w:r w:rsidRPr="00F53497">
              <w:rPr>
                <w:i/>
                <w:sz w:val="20"/>
                <w:szCs w:val="20"/>
              </w:rPr>
              <w:t xml:space="preserve">Task type:  </w:t>
            </w:r>
            <w:r w:rsidRPr="00F53497">
              <w:rPr>
                <w:sz w:val="20"/>
                <w:szCs w:val="20"/>
              </w:rPr>
              <w:t>Variety of papers and visual representations, including:</w:t>
            </w:r>
          </w:p>
          <w:p w:rsidR="00C85E4E" w:rsidRPr="00F53497" w:rsidRDefault="00C85E4E" w:rsidP="00C85E4E">
            <w:pPr>
              <w:pStyle w:val="ListParagraph"/>
              <w:numPr>
                <w:ilvl w:val="0"/>
                <w:numId w:val="3"/>
              </w:numPr>
              <w:rPr>
                <w:sz w:val="20"/>
                <w:szCs w:val="20"/>
              </w:rPr>
            </w:pPr>
            <w:r w:rsidRPr="00F53497">
              <w:rPr>
                <w:sz w:val="20"/>
                <w:szCs w:val="20"/>
              </w:rPr>
              <w:t>Linear vs Complex Systems Examples Paper</w:t>
            </w:r>
          </w:p>
          <w:p w:rsidR="00C85E4E" w:rsidRPr="00F53497" w:rsidRDefault="00C85E4E" w:rsidP="00C85E4E">
            <w:pPr>
              <w:pStyle w:val="ListParagraph"/>
              <w:numPr>
                <w:ilvl w:val="0"/>
                <w:numId w:val="3"/>
              </w:numPr>
              <w:rPr>
                <w:sz w:val="20"/>
                <w:szCs w:val="20"/>
              </w:rPr>
            </w:pPr>
            <w:r w:rsidRPr="00F53497">
              <w:rPr>
                <w:sz w:val="20"/>
                <w:szCs w:val="20"/>
              </w:rPr>
              <w:t xml:space="preserve">Systems Dynamics Visual Representation </w:t>
            </w:r>
          </w:p>
          <w:p w:rsidR="00C85E4E" w:rsidRPr="00F53497" w:rsidRDefault="00C85E4E" w:rsidP="00C85E4E">
            <w:pPr>
              <w:pStyle w:val="ListParagraph"/>
              <w:numPr>
                <w:ilvl w:val="0"/>
                <w:numId w:val="3"/>
              </w:numPr>
              <w:rPr>
                <w:sz w:val="20"/>
                <w:szCs w:val="20"/>
              </w:rPr>
            </w:pPr>
            <w:r w:rsidRPr="00F53497">
              <w:rPr>
                <w:sz w:val="20"/>
                <w:szCs w:val="20"/>
              </w:rPr>
              <w:t>Organizational Patterns visual</w:t>
            </w:r>
          </w:p>
          <w:p w:rsidR="00C85E4E" w:rsidRPr="00F53497" w:rsidRDefault="00C85E4E" w:rsidP="00C85E4E">
            <w:pPr>
              <w:pStyle w:val="ListParagraph"/>
              <w:numPr>
                <w:ilvl w:val="0"/>
                <w:numId w:val="3"/>
              </w:numPr>
              <w:rPr>
                <w:sz w:val="20"/>
                <w:szCs w:val="20"/>
              </w:rPr>
            </w:pPr>
            <w:r w:rsidRPr="00F53497">
              <w:rPr>
                <w:sz w:val="20"/>
                <w:szCs w:val="20"/>
              </w:rPr>
              <w:t>Causal Loop Diagram</w:t>
            </w:r>
          </w:p>
          <w:p w:rsidR="00C85E4E" w:rsidRPr="00F53497" w:rsidRDefault="00C85E4E" w:rsidP="00C85E4E">
            <w:pPr>
              <w:rPr>
                <w:sz w:val="20"/>
                <w:szCs w:val="20"/>
              </w:rPr>
            </w:pPr>
            <w:r w:rsidRPr="00F53497">
              <w:rPr>
                <w:sz w:val="20"/>
                <w:szCs w:val="20"/>
              </w:rPr>
              <w:t xml:space="preserve"> </w:t>
            </w:r>
          </w:p>
          <w:p w:rsidR="00C85E4E" w:rsidRPr="00F53497" w:rsidRDefault="00C85E4E" w:rsidP="00C85E4E">
            <w:pPr>
              <w:rPr>
                <w:sz w:val="20"/>
                <w:szCs w:val="20"/>
              </w:rPr>
            </w:pPr>
            <w:r w:rsidRPr="00F53497">
              <w:rPr>
                <w:i/>
                <w:sz w:val="20"/>
                <w:szCs w:val="20"/>
              </w:rPr>
              <w:t>Frequency:</w:t>
            </w:r>
            <w:r w:rsidRPr="00F53497">
              <w:rPr>
                <w:sz w:val="20"/>
                <w:szCs w:val="20"/>
              </w:rPr>
              <w:t xml:space="preserve">  Once each per semester. </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Overall grading weight: </w:t>
            </w:r>
            <w:r w:rsidRPr="00F53497">
              <w:rPr>
                <w:sz w:val="20"/>
                <w:szCs w:val="20"/>
              </w:rPr>
              <w:t>20%</w:t>
            </w:r>
          </w:p>
          <w:p w:rsidR="00C85E4E" w:rsidRPr="00F53497" w:rsidRDefault="00C85E4E" w:rsidP="00C85E4E">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integrate insight and reasoning with existing understanding to reach informed conclusion proficiently, 70% of students will be able to do so proficiently, and 15% of students will exceed the proficiency expectations. </w:t>
            </w:r>
          </w:p>
          <w:p w:rsidR="00C85E4E" w:rsidRPr="00F53497" w:rsidRDefault="00C85E4E" w:rsidP="00C85E4E">
            <w:pPr>
              <w:rPr>
                <w:sz w:val="20"/>
                <w:szCs w:val="20"/>
              </w:rPr>
            </w:pPr>
            <w:r w:rsidRPr="00F53497">
              <w:rPr>
                <w:sz w:val="20"/>
                <w:szCs w:val="20"/>
              </w:rPr>
              <w:t xml:space="preserve"> </w:t>
            </w:r>
          </w:p>
          <w:p w:rsidR="00C85E4E" w:rsidRPr="00F53497" w:rsidRDefault="00C85E4E" w:rsidP="00C85E4E">
            <w:pPr>
              <w:pStyle w:val="PlainText"/>
              <w:ind w:left="-18" w:firstLine="18"/>
              <w:rPr>
                <w:rFonts w:asciiTheme="minorHAnsi" w:hAnsiTheme="minorHAnsi"/>
                <w:sz w:val="20"/>
                <w:szCs w:val="20"/>
              </w:rPr>
            </w:pPr>
            <w:r w:rsidRPr="00F53497">
              <w:rPr>
                <w:rFonts w:asciiTheme="minorHAnsi" w:hAnsiTheme="minorHAnsi"/>
                <w:i/>
                <w:sz w:val="20"/>
                <w:szCs w:val="20"/>
              </w:rPr>
              <w:lastRenderedPageBreak/>
              <w:t>Link Between Assessment Dimension &amp; Assessment Plan</w:t>
            </w:r>
            <w:r w:rsidRPr="00F53497">
              <w:rPr>
                <w:rFonts w:asciiTheme="minorHAnsi" w:hAnsiTheme="minorHAnsi"/>
                <w:sz w:val="20"/>
                <w:szCs w:val="20"/>
              </w:rPr>
              <w:t xml:space="preserve">:  Instructors will consider the extent to which students rely upon high quality support from course materials and other sources.  </w:t>
            </w:r>
            <w:r w:rsidRPr="00F53497">
              <w:rPr>
                <w:rFonts w:asciiTheme="minorHAnsi" w:hAnsiTheme="minorHAnsi"/>
                <w:i/>
                <w:color w:val="FF0000"/>
                <w:sz w:val="20"/>
                <w:szCs w:val="20"/>
              </w:rPr>
              <w:t xml:space="preserve"> </w:t>
            </w:r>
            <w:r w:rsidRPr="00F53497">
              <w:rPr>
                <w:rFonts w:asciiTheme="minorHAnsi" w:hAnsiTheme="minorHAnsi"/>
                <w:sz w:val="20"/>
                <w:szCs w:val="20"/>
              </w:rPr>
              <w:t>The evidence presented in the student’s written work will be evaluated based on relevance to the topic, accuracy and logical consistency. Ultimately, good “evidence” should clearly support the inferences and conclusions made by the writer.</w:t>
            </w:r>
          </w:p>
          <w:p w:rsidR="00C85E4E" w:rsidRPr="00F53497" w:rsidRDefault="00C85E4E" w:rsidP="00C85E4E">
            <w:pPr>
              <w:pStyle w:val="PlainText"/>
              <w:ind w:left="-18" w:firstLine="18"/>
              <w:rPr>
                <w:rFonts w:asciiTheme="minorHAnsi" w:hAnsiTheme="minorHAnsi"/>
                <w:sz w:val="20"/>
                <w:szCs w:val="20"/>
              </w:rPr>
            </w:pPr>
          </w:p>
          <w:p w:rsidR="00C85E4E" w:rsidRPr="00F53497" w:rsidRDefault="00C85E4E" w:rsidP="00C85E4E">
            <w:pPr>
              <w:rPr>
                <w:sz w:val="20"/>
                <w:szCs w:val="20"/>
              </w:rPr>
            </w:pPr>
          </w:p>
        </w:tc>
      </w:tr>
      <w:tr w:rsidR="00C85E4E" w:rsidTr="00997CF2">
        <w:tc>
          <w:tcPr>
            <w:tcW w:w="1345" w:type="dxa"/>
          </w:tcPr>
          <w:p w:rsidR="00C85E4E" w:rsidRPr="00AE7775" w:rsidRDefault="00C85E4E" w:rsidP="00C85E4E">
            <w:pPr>
              <w:rPr>
                <w:b/>
              </w:rPr>
            </w:pPr>
            <w:r w:rsidRPr="00AE7775">
              <w:rPr>
                <w:b/>
              </w:rPr>
              <w:lastRenderedPageBreak/>
              <w:t>Evaluate</w:t>
            </w:r>
          </w:p>
        </w:tc>
        <w:tc>
          <w:tcPr>
            <w:tcW w:w="2340" w:type="dxa"/>
          </w:tcPr>
          <w:p w:rsidR="00C85E4E" w:rsidRDefault="00C85E4E" w:rsidP="00C85E4E">
            <w:r w:rsidRPr="00AE7775">
              <w:t>Evaluate</w:t>
            </w:r>
            <w:r>
              <w:t>s</w:t>
            </w:r>
            <w:r w:rsidRPr="00AE7775">
              <w:t xml:space="preserve"> information, ideas, and activities according to established principles and guidelines</w:t>
            </w:r>
          </w:p>
        </w:tc>
        <w:tc>
          <w:tcPr>
            <w:tcW w:w="6750" w:type="dxa"/>
          </w:tcPr>
          <w:p w:rsidR="00C85E4E" w:rsidRPr="00F53497" w:rsidRDefault="00C85E4E" w:rsidP="00C85E4E">
            <w:pPr>
              <w:spacing w:after="240"/>
              <w:rPr>
                <w:sz w:val="20"/>
                <w:szCs w:val="20"/>
              </w:rPr>
            </w:pPr>
            <w:r w:rsidRPr="00F53497">
              <w:rPr>
                <w:i/>
                <w:sz w:val="20"/>
                <w:szCs w:val="20"/>
              </w:rPr>
              <w:t xml:space="preserve">Task type:  </w:t>
            </w:r>
            <w:r w:rsidRPr="00F53497">
              <w:rPr>
                <w:sz w:val="20"/>
                <w:szCs w:val="20"/>
              </w:rPr>
              <w:t>Variety of evaluative reports and reflections including Feedback Exercise report and Interventions Exercise report.</w:t>
            </w:r>
          </w:p>
          <w:p w:rsidR="00C85E4E" w:rsidRPr="00F53497" w:rsidRDefault="00C85E4E" w:rsidP="00C85E4E">
            <w:pPr>
              <w:rPr>
                <w:sz w:val="20"/>
                <w:szCs w:val="20"/>
              </w:rPr>
            </w:pPr>
            <w:r w:rsidRPr="00F53497">
              <w:rPr>
                <w:i/>
                <w:sz w:val="20"/>
                <w:szCs w:val="20"/>
              </w:rPr>
              <w:t>Frequency:</w:t>
            </w:r>
            <w:r w:rsidRPr="00F53497">
              <w:rPr>
                <w:sz w:val="20"/>
                <w:szCs w:val="20"/>
              </w:rPr>
              <w:t xml:space="preserve">  Once each per semester</w:t>
            </w:r>
          </w:p>
          <w:p w:rsidR="00C85E4E" w:rsidRPr="00F53497" w:rsidRDefault="00C85E4E" w:rsidP="00C85E4E">
            <w:pPr>
              <w:rPr>
                <w:i/>
                <w:sz w:val="20"/>
                <w:szCs w:val="20"/>
              </w:rPr>
            </w:pPr>
          </w:p>
          <w:p w:rsidR="00C85E4E" w:rsidRPr="00F53497" w:rsidRDefault="00C85E4E" w:rsidP="00C85E4E">
            <w:pPr>
              <w:rPr>
                <w:sz w:val="20"/>
                <w:szCs w:val="20"/>
              </w:rPr>
            </w:pPr>
            <w:r w:rsidRPr="00F53497">
              <w:rPr>
                <w:i/>
                <w:sz w:val="20"/>
                <w:szCs w:val="20"/>
              </w:rPr>
              <w:t xml:space="preserve">Overall grading weight: </w:t>
            </w:r>
            <w:r w:rsidRPr="00F53497">
              <w:rPr>
                <w:sz w:val="20"/>
                <w:szCs w:val="20"/>
              </w:rPr>
              <w:t>10%</w:t>
            </w:r>
          </w:p>
          <w:p w:rsidR="00C85E4E" w:rsidRPr="00F53497" w:rsidRDefault="00C85E4E" w:rsidP="00C85E4E">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evaluate information, ideas, and activities according to established guidelines proficiently, 70% of students will be able to do so proficiently, and 15% of students will exceed the proficiency expectations. </w:t>
            </w:r>
          </w:p>
          <w:p w:rsidR="00C85E4E" w:rsidRPr="00F53497" w:rsidRDefault="00C85E4E" w:rsidP="00C85E4E">
            <w:pPr>
              <w:rPr>
                <w:sz w:val="20"/>
                <w:szCs w:val="20"/>
              </w:rPr>
            </w:pPr>
          </w:p>
          <w:p w:rsidR="00C85E4E" w:rsidRPr="00F53497" w:rsidRDefault="00C85E4E" w:rsidP="00C85E4E">
            <w:pPr>
              <w:rPr>
                <w:sz w:val="20"/>
                <w:szCs w:val="20"/>
              </w:rPr>
            </w:pPr>
            <w:r w:rsidRPr="00F53497">
              <w:rPr>
                <w:i/>
                <w:sz w:val="20"/>
                <w:szCs w:val="20"/>
              </w:rPr>
              <w:t>Link Between Assessment Dimension &amp; Assessment Plan</w:t>
            </w:r>
            <w:r w:rsidRPr="00F53497">
              <w:rPr>
                <w:sz w:val="20"/>
                <w:szCs w:val="20"/>
              </w:rPr>
              <w:t>:  Instructors will consider the extent to which students are able to evaluate information and ideas according to ethical principles and guidelines.</w:t>
            </w:r>
          </w:p>
          <w:p w:rsidR="00C85E4E" w:rsidRPr="00F53497" w:rsidRDefault="00C85E4E" w:rsidP="00C85E4E">
            <w:pPr>
              <w:rPr>
                <w:sz w:val="20"/>
                <w:szCs w:val="20"/>
              </w:rPr>
            </w:pP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6D25E5" w:rsidRPr="00F53497" w:rsidRDefault="000536C1" w:rsidP="006D25E5">
            <w:pPr>
              <w:rPr>
                <w:sz w:val="20"/>
                <w:szCs w:val="20"/>
              </w:rPr>
            </w:pPr>
            <w:r w:rsidRPr="00F53497">
              <w:rPr>
                <w:i/>
                <w:sz w:val="20"/>
                <w:szCs w:val="20"/>
              </w:rPr>
              <w:t xml:space="preserve">Task type:  </w:t>
            </w:r>
            <w:r w:rsidR="006D25E5" w:rsidRPr="00F53497">
              <w:rPr>
                <w:sz w:val="20"/>
                <w:szCs w:val="20"/>
              </w:rPr>
              <w:t>Comprehensive Systems Thinking Strategic Plan</w:t>
            </w:r>
          </w:p>
          <w:p w:rsidR="006D25E5" w:rsidRPr="00F53497" w:rsidRDefault="006D25E5" w:rsidP="000536C1">
            <w:pPr>
              <w:rPr>
                <w:i/>
                <w:sz w:val="20"/>
                <w:szCs w:val="20"/>
              </w:rPr>
            </w:pPr>
          </w:p>
          <w:p w:rsidR="000536C1" w:rsidRPr="00F53497" w:rsidRDefault="000536C1" w:rsidP="000536C1">
            <w:pPr>
              <w:rPr>
                <w:sz w:val="20"/>
                <w:szCs w:val="20"/>
              </w:rPr>
            </w:pPr>
            <w:r w:rsidRPr="00F53497">
              <w:rPr>
                <w:i/>
                <w:sz w:val="20"/>
                <w:szCs w:val="20"/>
              </w:rPr>
              <w:t>Frequency:</w:t>
            </w:r>
            <w:r w:rsidRPr="00F53497">
              <w:rPr>
                <w:sz w:val="20"/>
                <w:szCs w:val="20"/>
              </w:rPr>
              <w:t xml:space="preserve">  </w:t>
            </w:r>
            <w:r w:rsidR="006D25E5" w:rsidRPr="00F53497">
              <w:rPr>
                <w:sz w:val="20"/>
                <w:szCs w:val="20"/>
              </w:rPr>
              <w:t>Once per semester</w:t>
            </w:r>
          </w:p>
          <w:p w:rsidR="000536C1" w:rsidRPr="00F53497" w:rsidRDefault="000536C1" w:rsidP="000536C1">
            <w:pPr>
              <w:rPr>
                <w:i/>
                <w:sz w:val="20"/>
                <w:szCs w:val="20"/>
              </w:rPr>
            </w:pPr>
          </w:p>
          <w:p w:rsidR="000536C1" w:rsidRPr="00F53497" w:rsidRDefault="000536C1" w:rsidP="000536C1">
            <w:pPr>
              <w:rPr>
                <w:sz w:val="20"/>
                <w:szCs w:val="20"/>
              </w:rPr>
            </w:pPr>
            <w:r w:rsidRPr="00F53497">
              <w:rPr>
                <w:i/>
                <w:sz w:val="20"/>
                <w:szCs w:val="20"/>
              </w:rPr>
              <w:t xml:space="preserve">Overall grading weight: </w:t>
            </w:r>
            <w:r w:rsidR="006D25E5" w:rsidRPr="00F53497">
              <w:rPr>
                <w:sz w:val="20"/>
                <w:szCs w:val="20"/>
              </w:rPr>
              <w:t>30</w:t>
            </w:r>
            <w:r w:rsidRPr="00F53497">
              <w:rPr>
                <w:sz w:val="20"/>
                <w:szCs w:val="20"/>
              </w:rPr>
              <w:t>%</w:t>
            </w:r>
          </w:p>
          <w:p w:rsidR="000536C1" w:rsidRPr="00F53497" w:rsidRDefault="000536C1" w:rsidP="000536C1">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connect academic knowledge to experiences proficiently, 70% of students will be able to do so proficiently, and 15% of students will exceed the proficiency expectations. </w:t>
            </w:r>
          </w:p>
          <w:p w:rsidR="006D25E5" w:rsidRPr="00F53497" w:rsidRDefault="006D25E5" w:rsidP="000536C1">
            <w:pPr>
              <w:rPr>
                <w:sz w:val="20"/>
                <w:szCs w:val="20"/>
              </w:rPr>
            </w:pPr>
          </w:p>
          <w:p w:rsidR="006D25E5" w:rsidRPr="00F53497" w:rsidRDefault="006D25E5" w:rsidP="000536C1">
            <w:pPr>
              <w:rPr>
                <w:sz w:val="20"/>
                <w:szCs w:val="20"/>
              </w:rPr>
            </w:pPr>
          </w:p>
          <w:p w:rsidR="000536C1" w:rsidRPr="00F53497" w:rsidRDefault="000536C1" w:rsidP="000536C1">
            <w:pPr>
              <w:rPr>
                <w:sz w:val="20"/>
                <w:szCs w:val="20"/>
              </w:rPr>
            </w:pPr>
            <w:r w:rsidRPr="00F53497">
              <w:rPr>
                <w:i/>
                <w:sz w:val="20"/>
                <w:szCs w:val="20"/>
              </w:rPr>
              <w:t>Link Between Assessment Dimension &amp; Assessment Plan</w:t>
            </w:r>
            <w:r w:rsidRPr="00F53497">
              <w:rPr>
                <w:sz w:val="20"/>
                <w:szCs w:val="20"/>
              </w:rPr>
              <w:t xml:space="preserve">:  </w:t>
            </w:r>
          </w:p>
          <w:p w:rsidR="006D25E5" w:rsidRPr="00F53497" w:rsidRDefault="000536C1" w:rsidP="006D25E5">
            <w:pPr>
              <w:rPr>
                <w:sz w:val="20"/>
                <w:szCs w:val="20"/>
              </w:rPr>
            </w:pPr>
            <w:r w:rsidRPr="00F53497">
              <w:rPr>
                <w:sz w:val="20"/>
                <w:szCs w:val="20"/>
              </w:rPr>
              <w:t xml:space="preserve">Instructors will ask students to </w:t>
            </w:r>
            <w:r w:rsidR="006D25E5" w:rsidRPr="00F53497">
              <w:rPr>
                <w:sz w:val="20"/>
                <w:szCs w:val="20"/>
              </w:rPr>
              <w:t xml:space="preserve">connect course content to personal leadership actions, particularly to use system thinking tools to improve organizations. </w:t>
            </w:r>
          </w:p>
          <w:p w:rsidR="006943B7" w:rsidRPr="00F53497" w:rsidRDefault="006943B7" w:rsidP="006943B7">
            <w:pPr>
              <w:rPr>
                <w:sz w:val="20"/>
                <w:szCs w:val="20"/>
              </w:rPr>
            </w:pP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Pr="00F53497" w:rsidRDefault="006943B7" w:rsidP="006943B7">
            <w:pPr>
              <w:rPr>
                <w:sz w:val="20"/>
                <w:szCs w:val="20"/>
              </w:rPr>
            </w:pPr>
          </w:p>
        </w:tc>
      </w:tr>
      <w:tr w:rsidR="000536C1" w:rsidRPr="00AE7775" w:rsidTr="004448BE">
        <w:tc>
          <w:tcPr>
            <w:tcW w:w="1885" w:type="dxa"/>
          </w:tcPr>
          <w:p w:rsidR="000536C1" w:rsidRPr="00D663A5" w:rsidRDefault="000536C1" w:rsidP="000536C1">
            <w:pPr>
              <w:spacing w:before="49"/>
              <w:rPr>
                <w:sz w:val="20"/>
              </w:rPr>
            </w:pPr>
            <w:r w:rsidRPr="00D663A5">
              <w:rPr>
                <w:rFonts w:eastAsia="Garamond" w:cs="Garamond"/>
                <w:b/>
                <w:sz w:val="20"/>
              </w:rPr>
              <w:t>Transfer</w:t>
            </w:r>
          </w:p>
          <w:p w:rsidR="000536C1" w:rsidRPr="00D663A5" w:rsidRDefault="000536C1" w:rsidP="000536C1">
            <w:pPr>
              <w:rPr>
                <w:sz w:val="20"/>
              </w:rPr>
            </w:pPr>
          </w:p>
        </w:tc>
        <w:tc>
          <w:tcPr>
            <w:tcW w:w="2790" w:type="dxa"/>
            <w:tcBorders>
              <w:bottom w:val="single" w:sz="4" w:space="0" w:color="000000"/>
              <w:right w:val="single" w:sz="36" w:space="0" w:color="000000"/>
            </w:tcBorders>
          </w:tcPr>
          <w:p w:rsidR="000536C1" w:rsidRPr="00D663A5" w:rsidRDefault="000536C1" w:rsidP="000536C1">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0536C1" w:rsidRPr="00F53497" w:rsidRDefault="000536C1" w:rsidP="000536C1">
            <w:pPr>
              <w:spacing w:after="240"/>
              <w:rPr>
                <w:sz w:val="20"/>
                <w:szCs w:val="20"/>
              </w:rPr>
            </w:pPr>
            <w:r w:rsidRPr="00F53497">
              <w:rPr>
                <w:i/>
                <w:sz w:val="20"/>
                <w:szCs w:val="20"/>
              </w:rPr>
              <w:t xml:space="preserve">Task type:  </w:t>
            </w:r>
            <w:r w:rsidRPr="00F53497">
              <w:rPr>
                <w:sz w:val="20"/>
                <w:szCs w:val="20"/>
              </w:rPr>
              <w:t>Written responses to</w:t>
            </w:r>
            <w:r w:rsidR="006D25E5" w:rsidRPr="00F53497">
              <w:rPr>
                <w:sz w:val="20"/>
                <w:szCs w:val="20"/>
              </w:rPr>
              <w:t xml:space="preserve"> two field-based exercises, one of workplace feedback and one on interventions.</w:t>
            </w:r>
          </w:p>
          <w:p w:rsidR="000536C1" w:rsidRPr="00F53497" w:rsidRDefault="000536C1" w:rsidP="000536C1">
            <w:pPr>
              <w:rPr>
                <w:i/>
                <w:sz w:val="20"/>
                <w:szCs w:val="20"/>
              </w:rPr>
            </w:pPr>
            <w:r w:rsidRPr="00F53497">
              <w:rPr>
                <w:i/>
                <w:sz w:val="20"/>
                <w:szCs w:val="20"/>
              </w:rPr>
              <w:t>Frequency:</w:t>
            </w:r>
            <w:r w:rsidRPr="00F53497">
              <w:rPr>
                <w:sz w:val="20"/>
                <w:szCs w:val="20"/>
              </w:rPr>
              <w:t xml:space="preserve">  </w:t>
            </w:r>
            <w:r w:rsidR="006D25E5" w:rsidRPr="00F53497">
              <w:rPr>
                <w:sz w:val="20"/>
                <w:szCs w:val="20"/>
              </w:rPr>
              <w:t>Once each</w:t>
            </w:r>
            <w:r w:rsidRPr="00F53497">
              <w:rPr>
                <w:sz w:val="20"/>
                <w:szCs w:val="20"/>
              </w:rPr>
              <w:t xml:space="preserve"> per semester</w:t>
            </w:r>
            <w:r w:rsidRPr="00F53497">
              <w:rPr>
                <w:i/>
                <w:sz w:val="20"/>
                <w:szCs w:val="20"/>
              </w:rPr>
              <w:t xml:space="preserve"> </w:t>
            </w:r>
          </w:p>
          <w:p w:rsidR="000536C1" w:rsidRPr="00F53497" w:rsidRDefault="000536C1" w:rsidP="000536C1">
            <w:pPr>
              <w:rPr>
                <w:i/>
                <w:sz w:val="20"/>
                <w:szCs w:val="20"/>
              </w:rPr>
            </w:pPr>
          </w:p>
          <w:p w:rsidR="000536C1" w:rsidRPr="00F53497" w:rsidRDefault="000536C1" w:rsidP="000536C1">
            <w:pPr>
              <w:rPr>
                <w:sz w:val="20"/>
                <w:szCs w:val="20"/>
              </w:rPr>
            </w:pPr>
            <w:r w:rsidRPr="00F53497">
              <w:rPr>
                <w:i/>
                <w:sz w:val="20"/>
                <w:szCs w:val="20"/>
              </w:rPr>
              <w:t xml:space="preserve">Overall grading weight: </w:t>
            </w:r>
            <w:r w:rsidR="006D25E5" w:rsidRPr="00F53497">
              <w:rPr>
                <w:sz w:val="20"/>
                <w:szCs w:val="20"/>
              </w:rPr>
              <w:t>1</w:t>
            </w:r>
            <w:r w:rsidRPr="00F53497">
              <w:rPr>
                <w:sz w:val="20"/>
                <w:szCs w:val="20"/>
              </w:rPr>
              <w:t>0%</w:t>
            </w:r>
          </w:p>
          <w:p w:rsidR="000536C1" w:rsidRPr="00F53497" w:rsidRDefault="000536C1" w:rsidP="000536C1">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adapt and apply skills, abilities, theories, or methodologies gained in one situation to new situations proficiently, 70% of students will be able to do so proficiently, and 15% of students will exceed the proficiency expectations. </w:t>
            </w:r>
          </w:p>
          <w:p w:rsidR="006D25E5" w:rsidRPr="00F53497" w:rsidRDefault="006D25E5" w:rsidP="000536C1">
            <w:pPr>
              <w:rPr>
                <w:rFonts w:eastAsia="Garamond" w:cs="Garamond"/>
                <w:sz w:val="20"/>
                <w:szCs w:val="20"/>
              </w:rPr>
            </w:pPr>
          </w:p>
          <w:p w:rsidR="006D25E5" w:rsidRPr="00F53497" w:rsidRDefault="006D25E5" w:rsidP="006D25E5">
            <w:pPr>
              <w:rPr>
                <w:rFonts w:eastAsia="Garamond" w:cs="Garamond"/>
                <w:sz w:val="20"/>
                <w:szCs w:val="20"/>
              </w:rPr>
            </w:pPr>
            <w:r w:rsidRPr="00F53497">
              <w:rPr>
                <w:i/>
                <w:sz w:val="20"/>
                <w:szCs w:val="20"/>
              </w:rPr>
              <w:lastRenderedPageBreak/>
              <w:t xml:space="preserve"> </w:t>
            </w:r>
            <w:r w:rsidR="000536C1" w:rsidRPr="00F53497">
              <w:rPr>
                <w:i/>
                <w:sz w:val="20"/>
                <w:szCs w:val="20"/>
              </w:rPr>
              <w:t>Link Between Assessment Dimension &amp; Assessment Plan</w:t>
            </w:r>
            <w:r w:rsidR="000536C1" w:rsidRPr="00F53497">
              <w:rPr>
                <w:sz w:val="20"/>
                <w:szCs w:val="20"/>
              </w:rPr>
              <w:t xml:space="preserve">:  Instructors will consider the extent to which students </w:t>
            </w:r>
            <w:r w:rsidRPr="00F53497">
              <w:rPr>
                <w:sz w:val="20"/>
                <w:szCs w:val="20"/>
              </w:rPr>
              <w:t xml:space="preserve">were able to </w:t>
            </w:r>
            <w:r w:rsidRPr="00F53497">
              <w:rPr>
                <w:rFonts w:eastAsia="Garamond" w:cs="Garamond"/>
                <w:sz w:val="20"/>
                <w:szCs w:val="20"/>
              </w:rPr>
              <w:t>adapt and apply skills, abilities, theories, or methodologies gained in one situation to new situations.</w:t>
            </w:r>
          </w:p>
          <w:p w:rsidR="000536C1" w:rsidRPr="00F53497" w:rsidRDefault="000536C1" w:rsidP="006D25E5">
            <w:pPr>
              <w:rPr>
                <w:sz w:val="20"/>
                <w:szCs w:val="20"/>
              </w:rPr>
            </w:pPr>
            <w:r w:rsidRPr="00F53497">
              <w:rPr>
                <w:sz w:val="20"/>
                <w:szCs w:val="20"/>
              </w:rPr>
              <w:t xml:space="preserve"> </w:t>
            </w:r>
          </w:p>
        </w:tc>
      </w:tr>
      <w:tr w:rsidR="000536C1" w:rsidRPr="00AE7775" w:rsidTr="004448BE">
        <w:tc>
          <w:tcPr>
            <w:tcW w:w="1885" w:type="dxa"/>
          </w:tcPr>
          <w:p w:rsidR="000536C1" w:rsidRPr="00D663A5" w:rsidRDefault="000536C1" w:rsidP="000536C1">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0536C1" w:rsidRPr="00D663A5" w:rsidRDefault="000536C1" w:rsidP="000536C1">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816E53" w:rsidRPr="00F53497" w:rsidRDefault="00816E53" w:rsidP="000536C1">
            <w:pPr>
              <w:spacing w:after="240"/>
              <w:rPr>
                <w:sz w:val="20"/>
                <w:szCs w:val="20"/>
              </w:rPr>
            </w:pPr>
            <w:r w:rsidRPr="00F53497">
              <w:rPr>
                <w:i/>
                <w:sz w:val="20"/>
                <w:szCs w:val="20"/>
              </w:rPr>
              <w:t xml:space="preserve">Task type: Several </w:t>
            </w:r>
            <w:r w:rsidRPr="00F53497">
              <w:rPr>
                <w:sz w:val="20"/>
                <w:szCs w:val="20"/>
              </w:rPr>
              <w:t>written analytical reports, including a Comprehensive Systems Thinking Strategic Plan</w:t>
            </w:r>
          </w:p>
          <w:p w:rsidR="000536C1" w:rsidRPr="00F53497" w:rsidRDefault="000536C1" w:rsidP="000536C1">
            <w:pPr>
              <w:rPr>
                <w:sz w:val="20"/>
                <w:szCs w:val="20"/>
              </w:rPr>
            </w:pPr>
            <w:r w:rsidRPr="00F53497">
              <w:rPr>
                <w:i/>
                <w:sz w:val="20"/>
                <w:szCs w:val="20"/>
              </w:rPr>
              <w:t>Frequency:</w:t>
            </w:r>
            <w:r w:rsidRPr="00F53497">
              <w:rPr>
                <w:sz w:val="20"/>
                <w:szCs w:val="20"/>
              </w:rPr>
              <w:t xml:space="preserve">  </w:t>
            </w:r>
            <w:r w:rsidR="00816E53" w:rsidRPr="00F53497">
              <w:rPr>
                <w:sz w:val="20"/>
                <w:szCs w:val="20"/>
              </w:rPr>
              <w:t>Once each per semester</w:t>
            </w:r>
          </w:p>
          <w:p w:rsidR="000536C1" w:rsidRPr="00F53497" w:rsidRDefault="000536C1" w:rsidP="000536C1">
            <w:pPr>
              <w:rPr>
                <w:i/>
                <w:sz w:val="20"/>
                <w:szCs w:val="20"/>
              </w:rPr>
            </w:pPr>
          </w:p>
          <w:p w:rsidR="000536C1" w:rsidRPr="00F53497" w:rsidRDefault="000536C1" w:rsidP="000536C1">
            <w:pPr>
              <w:rPr>
                <w:sz w:val="20"/>
                <w:szCs w:val="20"/>
              </w:rPr>
            </w:pPr>
            <w:r w:rsidRPr="00F53497">
              <w:rPr>
                <w:i/>
                <w:sz w:val="20"/>
                <w:szCs w:val="20"/>
              </w:rPr>
              <w:t xml:space="preserve">Overall grading weight: </w:t>
            </w:r>
            <w:r w:rsidR="00816E53" w:rsidRPr="00F53497">
              <w:rPr>
                <w:sz w:val="20"/>
                <w:szCs w:val="20"/>
              </w:rPr>
              <w:t>4</w:t>
            </w:r>
            <w:r w:rsidRPr="00F53497">
              <w:rPr>
                <w:sz w:val="20"/>
                <w:szCs w:val="20"/>
              </w:rPr>
              <w:t>0%</w:t>
            </w:r>
          </w:p>
          <w:p w:rsidR="000536C1" w:rsidRPr="00F53497" w:rsidRDefault="000536C1" w:rsidP="000536C1">
            <w:pPr>
              <w:rPr>
                <w:i/>
                <w:sz w:val="20"/>
                <w:szCs w:val="20"/>
              </w:rPr>
            </w:pPr>
          </w:p>
          <w:p w:rsidR="003D4478" w:rsidRPr="00F53497" w:rsidRDefault="003D4478" w:rsidP="003D4478">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communicate complex concepts by choosing appropriate content and form proficiently, 70% of students will be able to do so proficiently, and 15% of students will exceed the proficiency expectations. </w:t>
            </w:r>
          </w:p>
          <w:p w:rsidR="000536C1" w:rsidRPr="00F53497" w:rsidRDefault="00954BC8" w:rsidP="000536C1">
            <w:pPr>
              <w:rPr>
                <w:sz w:val="20"/>
                <w:szCs w:val="20"/>
              </w:rPr>
            </w:pPr>
            <w:r w:rsidRPr="00F53497">
              <w:rPr>
                <w:sz w:val="20"/>
                <w:szCs w:val="20"/>
              </w:rPr>
              <w:t xml:space="preserve"> </w:t>
            </w:r>
          </w:p>
          <w:p w:rsidR="00816E53" w:rsidRPr="00F53497" w:rsidRDefault="000536C1" w:rsidP="00816E53">
            <w:pPr>
              <w:rPr>
                <w:sz w:val="20"/>
                <w:szCs w:val="20"/>
              </w:rPr>
            </w:pPr>
            <w:r w:rsidRPr="00F53497">
              <w:rPr>
                <w:i/>
                <w:sz w:val="20"/>
                <w:szCs w:val="20"/>
              </w:rPr>
              <w:t>Link Between Assessment Dimension &amp; Assessment Plan</w:t>
            </w:r>
            <w:r w:rsidRPr="00F53497">
              <w:rPr>
                <w:sz w:val="20"/>
                <w:szCs w:val="20"/>
              </w:rPr>
              <w:t xml:space="preserve">:  Instructors will </w:t>
            </w:r>
            <w:r w:rsidR="00816E53" w:rsidRPr="00F53497">
              <w:rPr>
                <w:sz w:val="20"/>
                <w:szCs w:val="20"/>
              </w:rPr>
              <w:t>ask students t communicates complex systems thinking concepts using appropriate content and form.</w:t>
            </w:r>
          </w:p>
          <w:p w:rsidR="000536C1" w:rsidRPr="00F53497" w:rsidRDefault="000536C1" w:rsidP="000536C1">
            <w:pPr>
              <w:rPr>
                <w:sz w:val="20"/>
                <w:szCs w:val="20"/>
              </w:rPr>
            </w:pPr>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B6B" w:rsidRDefault="007D5B6B" w:rsidP="00997CF2">
      <w:pPr>
        <w:spacing w:after="0" w:line="240" w:lineRule="auto"/>
      </w:pPr>
      <w:r>
        <w:separator/>
      </w:r>
    </w:p>
  </w:endnote>
  <w:endnote w:type="continuationSeparator" w:id="0">
    <w:p w:rsidR="007D5B6B" w:rsidRDefault="007D5B6B"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DB1F0F">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B6B" w:rsidRDefault="007D5B6B" w:rsidP="00997CF2">
      <w:pPr>
        <w:spacing w:after="0" w:line="240" w:lineRule="auto"/>
      </w:pPr>
      <w:r>
        <w:separator/>
      </w:r>
    </w:p>
  </w:footnote>
  <w:footnote w:type="continuationSeparator" w:id="0">
    <w:p w:rsidR="007D5B6B" w:rsidRDefault="007D5B6B"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D3" w:rsidRDefault="007D5B6B">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712E"/>
    <w:multiLevelType w:val="hybridMultilevel"/>
    <w:tmpl w:val="706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A63C2"/>
    <w:multiLevelType w:val="hybridMultilevel"/>
    <w:tmpl w:val="C630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13333"/>
    <w:multiLevelType w:val="hybridMultilevel"/>
    <w:tmpl w:val="E19C9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36C1"/>
    <w:rsid w:val="000A0820"/>
    <w:rsid w:val="00103B9B"/>
    <w:rsid w:val="00140A85"/>
    <w:rsid w:val="00147F10"/>
    <w:rsid w:val="001E0F05"/>
    <w:rsid w:val="002349A4"/>
    <w:rsid w:val="00243B15"/>
    <w:rsid w:val="00273CF4"/>
    <w:rsid w:val="00322E3F"/>
    <w:rsid w:val="003C2429"/>
    <w:rsid w:val="003C5761"/>
    <w:rsid w:val="003D4478"/>
    <w:rsid w:val="00432BAE"/>
    <w:rsid w:val="004936B1"/>
    <w:rsid w:val="004B001A"/>
    <w:rsid w:val="004B1617"/>
    <w:rsid w:val="005229D3"/>
    <w:rsid w:val="00527EBB"/>
    <w:rsid w:val="00531A8E"/>
    <w:rsid w:val="00592FD3"/>
    <w:rsid w:val="005B2CA6"/>
    <w:rsid w:val="005C7028"/>
    <w:rsid w:val="005F6ABD"/>
    <w:rsid w:val="00603CD4"/>
    <w:rsid w:val="0068640A"/>
    <w:rsid w:val="006943B7"/>
    <w:rsid w:val="006D25E5"/>
    <w:rsid w:val="00713756"/>
    <w:rsid w:val="00753348"/>
    <w:rsid w:val="007A65D6"/>
    <w:rsid w:val="007D5B6B"/>
    <w:rsid w:val="007E4BC2"/>
    <w:rsid w:val="00816E53"/>
    <w:rsid w:val="008E54FD"/>
    <w:rsid w:val="00901A5C"/>
    <w:rsid w:val="00941109"/>
    <w:rsid w:val="00954BC8"/>
    <w:rsid w:val="0097195A"/>
    <w:rsid w:val="00997CF2"/>
    <w:rsid w:val="00A7492E"/>
    <w:rsid w:val="00AA69FE"/>
    <w:rsid w:val="00AE7775"/>
    <w:rsid w:val="00B514D5"/>
    <w:rsid w:val="00B81179"/>
    <w:rsid w:val="00BC07C1"/>
    <w:rsid w:val="00BD5CE3"/>
    <w:rsid w:val="00C34944"/>
    <w:rsid w:val="00C45B6F"/>
    <w:rsid w:val="00C85E4E"/>
    <w:rsid w:val="00CF3AB8"/>
    <w:rsid w:val="00D03CB7"/>
    <w:rsid w:val="00D14FFA"/>
    <w:rsid w:val="00D72C59"/>
    <w:rsid w:val="00D85DFF"/>
    <w:rsid w:val="00DB1F0F"/>
    <w:rsid w:val="00DD35B6"/>
    <w:rsid w:val="00DE239C"/>
    <w:rsid w:val="00E34A19"/>
    <w:rsid w:val="00F53497"/>
    <w:rsid w:val="00F6033A"/>
    <w:rsid w:val="00F81491"/>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45B6F"/>
    <w:rPr>
      <w:color w:val="0563C1" w:themeColor="hyperlink"/>
      <w:u w:val="single"/>
    </w:rPr>
  </w:style>
  <w:style w:type="paragraph" w:styleId="ListParagraph">
    <w:name w:val="List Paragraph"/>
    <w:basedOn w:val="Normal"/>
    <w:uiPriority w:val="34"/>
    <w:qFormat/>
    <w:rsid w:val="00527EBB"/>
    <w:pPr>
      <w:ind w:left="720"/>
      <w:contextualSpacing/>
    </w:pPr>
  </w:style>
  <w:style w:type="character" w:customStyle="1" w:styleId="PlainTextChar">
    <w:name w:val="Plain Text Char"/>
    <w:link w:val="PlainText"/>
    <w:uiPriority w:val="99"/>
    <w:semiHidden/>
    <w:locked/>
    <w:rsid w:val="000536C1"/>
    <w:rPr>
      <w:rFonts w:ascii="Consolas" w:eastAsia="Calibri" w:hAnsi="Consolas"/>
      <w:sz w:val="21"/>
      <w:szCs w:val="21"/>
    </w:rPr>
  </w:style>
  <w:style w:type="paragraph" w:styleId="PlainText">
    <w:name w:val="Plain Text"/>
    <w:basedOn w:val="Normal"/>
    <w:link w:val="PlainTextChar"/>
    <w:uiPriority w:val="99"/>
    <w:semiHidden/>
    <w:rsid w:val="000536C1"/>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0536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ubig@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212EAB"/>
    <w:rsid w:val="00474549"/>
    <w:rsid w:val="00613D93"/>
    <w:rsid w:val="00734559"/>
    <w:rsid w:val="00853609"/>
    <w:rsid w:val="008A34DA"/>
    <w:rsid w:val="00A46EF1"/>
    <w:rsid w:val="00AF7147"/>
    <w:rsid w:val="00B7046A"/>
    <w:rsid w:val="00BC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Administrator</cp:lastModifiedBy>
  <cp:revision>4</cp:revision>
  <dcterms:created xsi:type="dcterms:W3CDTF">2016-07-21T19:42:00Z</dcterms:created>
  <dcterms:modified xsi:type="dcterms:W3CDTF">2016-07-25T14:07:00Z</dcterms:modified>
</cp:coreProperties>
</file>